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8382B" w14:textId="77777777" w:rsidR="00402822" w:rsidRPr="00ED54EE" w:rsidRDefault="00BC7B51" w:rsidP="00BC7B51">
      <w:pPr>
        <w:jc w:val="both"/>
        <w:rPr>
          <w:rFonts w:ascii="Century Gothic" w:hAnsi="Century Gothic"/>
          <w:sz w:val="20"/>
          <w:szCs w:val="20"/>
        </w:rPr>
      </w:pPr>
      <w:r w:rsidRPr="00ED54EE">
        <w:rPr>
          <w:rFonts w:ascii="Century Gothic" w:hAnsi="Century Gothic"/>
          <w:sz w:val="20"/>
          <w:szCs w:val="20"/>
        </w:rPr>
        <w:t>Ai sensi della L.R. 6/2012 art. 42 c. 6 bis, gli enti proprietari delle strade pubblicano sui propri siti istituzionali le cartografie o gli elenchi delle strade percorribili dalle tipologie di veicoli/trasporti eccezionali indicati nelle linee guida (DGR XI/1341 del 4 marzo 2019</w:t>
      </w:r>
      <w:r w:rsidR="00F01670" w:rsidRPr="00ED54EE">
        <w:rPr>
          <w:rFonts w:ascii="Century Gothic" w:hAnsi="Century Gothic"/>
          <w:sz w:val="20"/>
          <w:szCs w:val="20"/>
        </w:rPr>
        <w:t xml:space="preserve"> reperibili al link </w:t>
      </w:r>
      <w:hyperlink r:id="rId5" w:history="1">
        <w:r w:rsidR="00F01670" w:rsidRPr="00ED54EE">
          <w:rPr>
            <w:rStyle w:val="Collegamentoipertestuale"/>
            <w:rFonts w:ascii="Century Gothic" w:hAnsi="Century Gothic" w:cs="Arial"/>
            <w:sz w:val="20"/>
            <w:szCs w:val="20"/>
          </w:rPr>
          <w:t>https://www.regione.lombardia.it/wps/portal/istituzionale/HP/DettaglioServizio/servizi-e-informazioni/Enti-e-Operatori/Trasporti-e-logistica/Mobilita-delle-merci/linee-guida-trasporti-eccezionali</w:t>
        </w:r>
      </w:hyperlink>
      <w:r w:rsidR="00F01670" w:rsidRPr="00ED54EE">
        <w:rPr>
          <w:rFonts w:ascii="Century Gothic" w:hAnsi="Century Gothic" w:cs="Arial"/>
          <w:sz w:val="20"/>
          <w:szCs w:val="20"/>
        </w:rPr>
        <w:t xml:space="preserve"> ).</w:t>
      </w:r>
    </w:p>
    <w:p w14:paraId="495F8F87" w14:textId="5A75658A" w:rsidR="00BC7B51" w:rsidRPr="00ED54EE" w:rsidRDefault="00BC7B51" w:rsidP="00BC7B51">
      <w:pPr>
        <w:jc w:val="both"/>
        <w:rPr>
          <w:rFonts w:ascii="Century Gothic" w:hAnsi="Century Gothic"/>
          <w:sz w:val="20"/>
          <w:szCs w:val="20"/>
        </w:rPr>
      </w:pPr>
      <w:r w:rsidRPr="00ED54EE">
        <w:rPr>
          <w:rFonts w:ascii="Century Gothic" w:hAnsi="Century Gothic"/>
          <w:sz w:val="20"/>
          <w:szCs w:val="20"/>
        </w:rPr>
        <w:t xml:space="preserve">La pubblicazione dei percorsi ammessi al transito dei TE, sostituiscono i nulla osta/pareri di competenza. </w:t>
      </w:r>
    </w:p>
    <w:p w14:paraId="721219F0" w14:textId="77777777" w:rsidR="00BC7B51" w:rsidRPr="00ED54EE" w:rsidRDefault="00BC7B51" w:rsidP="00BC7B51">
      <w:pPr>
        <w:jc w:val="both"/>
        <w:rPr>
          <w:rFonts w:ascii="Century Gothic" w:hAnsi="Century Gothic"/>
          <w:sz w:val="20"/>
          <w:szCs w:val="20"/>
        </w:rPr>
      </w:pPr>
      <w:r w:rsidRPr="00ED54EE">
        <w:rPr>
          <w:rFonts w:ascii="Century Gothic" w:hAnsi="Century Gothic"/>
          <w:sz w:val="20"/>
          <w:szCs w:val="20"/>
        </w:rPr>
        <w:t>Le cartografie (o gli elenchi strada):</w:t>
      </w:r>
    </w:p>
    <w:p w14:paraId="3B79FB9B" w14:textId="2A3D39A6" w:rsidR="00BC7B51" w:rsidRPr="00ED54EE" w:rsidRDefault="00BC7B51" w:rsidP="00BC7B51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bookmarkStart w:id="0" w:name="_Hlk38030896"/>
      <w:r w:rsidRPr="00ED54EE">
        <w:rPr>
          <w:rFonts w:ascii="Century Gothic" w:hAnsi="Century Gothic"/>
          <w:sz w:val="20"/>
          <w:szCs w:val="20"/>
        </w:rPr>
        <w:t>Devono riferirsi alle sole strade di competenza</w:t>
      </w:r>
      <w:r w:rsidR="00DE3268">
        <w:rPr>
          <w:rFonts w:ascii="Century Gothic" w:hAnsi="Century Gothic"/>
          <w:sz w:val="20"/>
          <w:szCs w:val="20"/>
        </w:rPr>
        <w:t>;</w:t>
      </w:r>
    </w:p>
    <w:p w14:paraId="51B6470B" w14:textId="3B804322" w:rsidR="00BC7B51" w:rsidRPr="00ED54EE" w:rsidRDefault="00BC7B51" w:rsidP="00BC7B51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ED54EE">
        <w:rPr>
          <w:rFonts w:ascii="Century Gothic" w:hAnsi="Century Gothic"/>
          <w:sz w:val="20"/>
          <w:szCs w:val="20"/>
        </w:rPr>
        <w:t>Devono specificare</w:t>
      </w:r>
      <w:r w:rsidR="004F54F0" w:rsidRPr="00ED54EE">
        <w:rPr>
          <w:rFonts w:ascii="Century Gothic" w:hAnsi="Century Gothic"/>
          <w:sz w:val="20"/>
          <w:szCs w:val="20"/>
        </w:rPr>
        <w:t xml:space="preserve"> in relazione ad ogni viabilità indicata,</w:t>
      </w:r>
      <w:r w:rsidRPr="00ED54EE">
        <w:rPr>
          <w:rFonts w:ascii="Century Gothic" w:hAnsi="Century Gothic"/>
          <w:sz w:val="20"/>
          <w:szCs w:val="20"/>
        </w:rPr>
        <w:t xml:space="preserve"> le tipologie di veicoli/trasporti ammessi al transito (</w:t>
      </w:r>
      <w:r w:rsidR="00574643" w:rsidRPr="00ED54EE">
        <w:rPr>
          <w:rFonts w:ascii="Century Gothic" w:hAnsi="Century Gothic"/>
          <w:sz w:val="20"/>
          <w:szCs w:val="20"/>
        </w:rPr>
        <w:t xml:space="preserve">verificare nel dettaglio la massa e sagoma delle tipologie di veicoli/trasporti eccezionali indicati nelle linee guida approvate con D.G.R. XI/1341 del 4 marzo 2019 - </w:t>
      </w:r>
      <w:r w:rsidRPr="00ED54EE">
        <w:rPr>
          <w:rFonts w:ascii="Century Gothic" w:hAnsi="Century Gothic"/>
          <w:sz w:val="20"/>
          <w:szCs w:val="20"/>
        </w:rPr>
        <w:t xml:space="preserve">punto 7 </w:t>
      </w:r>
      <w:r w:rsidR="00574643" w:rsidRPr="00ED54EE">
        <w:rPr>
          <w:rFonts w:ascii="Century Gothic" w:hAnsi="Century Gothic"/>
          <w:sz w:val="20"/>
          <w:szCs w:val="20"/>
        </w:rPr>
        <w:t>lettere dalla A alla N)</w:t>
      </w:r>
      <w:r w:rsidRPr="00ED54EE">
        <w:rPr>
          <w:rFonts w:ascii="Century Gothic" w:hAnsi="Century Gothic"/>
          <w:sz w:val="20"/>
          <w:szCs w:val="20"/>
        </w:rPr>
        <w:t>;</w:t>
      </w:r>
    </w:p>
    <w:p w14:paraId="58D053C0" w14:textId="763F693D" w:rsidR="00BC7B51" w:rsidRPr="00ED54EE" w:rsidRDefault="00BC7B51" w:rsidP="00BC7B51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ED54EE">
        <w:rPr>
          <w:rFonts w:ascii="Century Gothic" w:hAnsi="Century Gothic"/>
          <w:sz w:val="20"/>
          <w:szCs w:val="20"/>
        </w:rPr>
        <w:t xml:space="preserve">Devono indicare le limitazioni </w:t>
      </w:r>
      <w:r w:rsidR="00F40055" w:rsidRPr="00DE3268">
        <w:rPr>
          <w:rFonts w:ascii="Century Gothic" w:hAnsi="Century Gothic"/>
          <w:sz w:val="20"/>
          <w:szCs w:val="20"/>
        </w:rPr>
        <w:t xml:space="preserve">e i vincoli puntuali </w:t>
      </w:r>
      <w:r w:rsidRPr="00ED54EE">
        <w:rPr>
          <w:rFonts w:ascii="Century Gothic" w:hAnsi="Century Gothic"/>
          <w:sz w:val="20"/>
          <w:szCs w:val="20"/>
        </w:rPr>
        <w:t>presenti sui percorsi (cfr. punto 7 delle linee guida)</w:t>
      </w:r>
      <w:r w:rsidR="00F40055" w:rsidRPr="00ED54EE">
        <w:rPr>
          <w:rFonts w:ascii="Century Gothic" w:hAnsi="Century Gothic"/>
          <w:sz w:val="20"/>
          <w:szCs w:val="20"/>
        </w:rPr>
        <w:t xml:space="preserve">, oltre alle eventuali </w:t>
      </w:r>
      <w:r w:rsidR="00F40055" w:rsidRPr="00DE3268">
        <w:rPr>
          <w:rFonts w:ascii="Century Gothic" w:hAnsi="Century Gothic"/>
          <w:sz w:val="20"/>
          <w:szCs w:val="20"/>
        </w:rPr>
        <w:t>prescrizioni al transito</w:t>
      </w:r>
      <w:r w:rsidR="005F5627" w:rsidRPr="00ED54EE">
        <w:rPr>
          <w:rFonts w:ascii="Century Gothic" w:hAnsi="Century Gothic"/>
          <w:sz w:val="20"/>
          <w:szCs w:val="20"/>
        </w:rPr>
        <w:t xml:space="preserve"> </w:t>
      </w:r>
      <w:bookmarkStart w:id="1" w:name="_Hlk38267501"/>
      <w:r w:rsidR="005F5627" w:rsidRPr="00ED54EE">
        <w:rPr>
          <w:rFonts w:ascii="Century Gothic" w:hAnsi="Century Gothic"/>
          <w:sz w:val="20"/>
          <w:szCs w:val="20"/>
        </w:rPr>
        <w:t>e/o limiti di massa e/o sagoma</w:t>
      </w:r>
      <w:bookmarkEnd w:id="1"/>
      <w:r w:rsidR="005F5627" w:rsidRPr="00ED54EE">
        <w:rPr>
          <w:rFonts w:ascii="Century Gothic" w:hAnsi="Century Gothic"/>
          <w:sz w:val="20"/>
          <w:szCs w:val="20"/>
        </w:rPr>
        <w:t>;</w:t>
      </w:r>
      <w:r w:rsidRPr="00ED54EE">
        <w:rPr>
          <w:rFonts w:ascii="Century Gothic" w:hAnsi="Century Gothic"/>
          <w:sz w:val="20"/>
          <w:szCs w:val="20"/>
        </w:rPr>
        <w:t xml:space="preserve"> </w:t>
      </w:r>
    </w:p>
    <w:p w14:paraId="4B29D606" w14:textId="32136A04" w:rsidR="00BC7B51" w:rsidRPr="00ED54EE" w:rsidRDefault="00BC7B51" w:rsidP="00BC7B51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ED54EE">
        <w:rPr>
          <w:rFonts w:ascii="Century Gothic" w:hAnsi="Century Gothic"/>
          <w:sz w:val="20"/>
          <w:szCs w:val="20"/>
        </w:rPr>
        <w:t>Nelle cartografie (o elenchi strade) devono essere specificati i nominativi dei soggetti proprietari/gestori di</w:t>
      </w:r>
      <w:r w:rsidR="005F5627" w:rsidRPr="00ED54EE">
        <w:rPr>
          <w:rFonts w:ascii="Century Gothic" w:hAnsi="Century Gothic"/>
          <w:sz w:val="20"/>
          <w:szCs w:val="20"/>
        </w:rPr>
        <w:t xml:space="preserve"> opere d’arte quali ad esempio cavalcavia stradali o ferroviari, che realizzano l’interferenza tra due infrastrutture per le quali la proprietà delle strutture non coincide con la proprietà della sovrastruttura stradale. Ad esempio: se la strada, individuata per il passaggio di alcuni trasporti eccezionali, attraversa un cavalcavia la cui struttura è di proprietà/gestione di un altro soggetto (provincia/stato/autostrade/ferroviarie/consorzi di bonifica ecc.) è necessario evidenziare in cartografia</w:t>
      </w:r>
      <w:r w:rsidR="00ED54EE" w:rsidRPr="00ED54EE">
        <w:rPr>
          <w:rFonts w:ascii="Century Gothic" w:hAnsi="Century Gothic"/>
          <w:sz w:val="20"/>
          <w:szCs w:val="20"/>
        </w:rPr>
        <w:t xml:space="preserve"> (o nell’elenco strade)</w:t>
      </w:r>
      <w:r w:rsidR="005F5627" w:rsidRPr="00ED54EE">
        <w:rPr>
          <w:rFonts w:ascii="Century Gothic" w:hAnsi="Century Gothic"/>
          <w:sz w:val="20"/>
          <w:szCs w:val="20"/>
        </w:rPr>
        <w:t xml:space="preserve"> il soggetto proprietario della struttura;</w:t>
      </w:r>
    </w:p>
    <w:p w14:paraId="3BD77C36" w14:textId="1C44DEF9" w:rsidR="009C7D87" w:rsidRPr="00ED54EE" w:rsidRDefault="005F5627" w:rsidP="005F5627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ED54EE">
        <w:rPr>
          <w:rFonts w:ascii="Century Gothic" w:hAnsi="Century Gothic"/>
          <w:sz w:val="20"/>
          <w:szCs w:val="20"/>
        </w:rPr>
        <w:t xml:space="preserve">in presenza di passaggi a livello devono essere </w:t>
      </w:r>
      <w:r w:rsidR="00ED54EE" w:rsidRPr="00ED54EE">
        <w:rPr>
          <w:rFonts w:ascii="Century Gothic" w:hAnsi="Century Gothic"/>
          <w:sz w:val="20"/>
          <w:szCs w:val="20"/>
        </w:rPr>
        <w:t>indicati</w:t>
      </w:r>
      <w:r w:rsidRPr="00ED54EE">
        <w:rPr>
          <w:rFonts w:ascii="Century Gothic" w:hAnsi="Century Gothic"/>
          <w:sz w:val="20"/>
          <w:szCs w:val="20"/>
        </w:rPr>
        <w:t xml:space="preserve"> </w:t>
      </w:r>
      <w:r w:rsidR="00ED54EE" w:rsidRPr="00ED54EE">
        <w:rPr>
          <w:rFonts w:ascii="Century Gothic" w:hAnsi="Century Gothic"/>
          <w:sz w:val="20"/>
          <w:szCs w:val="20"/>
        </w:rPr>
        <w:t xml:space="preserve">nelle cartografie (o elenchi strade) </w:t>
      </w:r>
      <w:r w:rsidRPr="00ED54EE">
        <w:rPr>
          <w:rFonts w:ascii="Century Gothic" w:hAnsi="Century Gothic"/>
          <w:sz w:val="20"/>
          <w:szCs w:val="20"/>
        </w:rPr>
        <w:t>i nominativ</w:t>
      </w:r>
      <w:r w:rsidR="00DE3268">
        <w:rPr>
          <w:rFonts w:ascii="Century Gothic" w:hAnsi="Century Gothic"/>
          <w:sz w:val="20"/>
          <w:szCs w:val="20"/>
        </w:rPr>
        <w:t>i</w:t>
      </w:r>
      <w:r w:rsidRPr="00ED54EE">
        <w:rPr>
          <w:rFonts w:ascii="Century Gothic" w:hAnsi="Century Gothic"/>
          <w:sz w:val="20"/>
          <w:szCs w:val="20"/>
        </w:rPr>
        <w:t xml:space="preserve"> de</w:t>
      </w:r>
      <w:r w:rsidR="00DE3268">
        <w:rPr>
          <w:rFonts w:ascii="Century Gothic" w:hAnsi="Century Gothic"/>
          <w:sz w:val="20"/>
          <w:szCs w:val="20"/>
        </w:rPr>
        <w:t>i</w:t>
      </w:r>
      <w:r w:rsidRPr="00ED54EE">
        <w:rPr>
          <w:rFonts w:ascii="Century Gothic" w:hAnsi="Century Gothic"/>
          <w:sz w:val="20"/>
          <w:szCs w:val="20"/>
        </w:rPr>
        <w:t xml:space="preserve"> </w:t>
      </w:r>
      <w:r w:rsidR="00DE3268">
        <w:rPr>
          <w:rFonts w:ascii="Century Gothic" w:hAnsi="Century Gothic"/>
          <w:sz w:val="20"/>
          <w:szCs w:val="20"/>
        </w:rPr>
        <w:t>s</w:t>
      </w:r>
      <w:r w:rsidRPr="00ED54EE">
        <w:rPr>
          <w:rFonts w:ascii="Century Gothic" w:hAnsi="Century Gothic"/>
          <w:sz w:val="20"/>
          <w:szCs w:val="20"/>
        </w:rPr>
        <w:t>oggett</w:t>
      </w:r>
      <w:r w:rsidR="00DE3268">
        <w:rPr>
          <w:rFonts w:ascii="Century Gothic" w:hAnsi="Century Gothic"/>
          <w:sz w:val="20"/>
          <w:szCs w:val="20"/>
        </w:rPr>
        <w:t>i</w:t>
      </w:r>
      <w:r w:rsidRPr="00ED54EE">
        <w:rPr>
          <w:rFonts w:ascii="Century Gothic" w:hAnsi="Century Gothic"/>
          <w:sz w:val="20"/>
          <w:szCs w:val="20"/>
        </w:rPr>
        <w:t xml:space="preserve"> proprietari/gestor</w:t>
      </w:r>
      <w:r w:rsidR="00DE3268">
        <w:rPr>
          <w:rFonts w:ascii="Century Gothic" w:hAnsi="Century Gothic"/>
          <w:sz w:val="20"/>
          <w:szCs w:val="20"/>
        </w:rPr>
        <w:t>i.</w:t>
      </w:r>
      <w:r w:rsidRPr="00ED54EE">
        <w:rPr>
          <w:rFonts w:ascii="Century Gothic" w:hAnsi="Century Gothic"/>
          <w:sz w:val="20"/>
          <w:szCs w:val="20"/>
        </w:rPr>
        <w:t xml:space="preserve"> </w:t>
      </w:r>
    </w:p>
    <w:p w14:paraId="51018F44" w14:textId="0CC84AF9" w:rsidR="009C7D87" w:rsidRPr="00ED54EE" w:rsidRDefault="00ED54EE" w:rsidP="00ED54E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Per maggiori specifiche vedasi la norma regionale e le linee guida sopra indicate.</w:t>
      </w:r>
    </w:p>
    <w:bookmarkEnd w:id="0"/>
    <w:p w14:paraId="34CB8987" w14:textId="675D8A1F" w:rsidR="009F743D" w:rsidRPr="00ED54EE" w:rsidRDefault="009F743D" w:rsidP="009F743D">
      <w:pPr>
        <w:jc w:val="both"/>
        <w:rPr>
          <w:rFonts w:ascii="Century Gothic" w:hAnsi="Century Gothic"/>
          <w:sz w:val="20"/>
          <w:szCs w:val="20"/>
        </w:rPr>
      </w:pPr>
      <w:r w:rsidRPr="00ED54EE">
        <w:rPr>
          <w:rFonts w:ascii="Century Gothic" w:hAnsi="Century Gothic"/>
          <w:sz w:val="20"/>
          <w:szCs w:val="20"/>
        </w:rPr>
        <w:t>In caso di assenza di strade comunali idonee al transito dei TE indicati nelle linee guida, l’Ente deve pubblicare una dichiarazione in tal senso. (Allegato fac-simile</w:t>
      </w:r>
      <w:r w:rsidR="00ED54EE" w:rsidRPr="00ED54EE">
        <w:rPr>
          <w:rFonts w:ascii="Century Gothic" w:hAnsi="Century Gothic"/>
          <w:sz w:val="20"/>
          <w:szCs w:val="20"/>
        </w:rPr>
        <w:t xml:space="preserve"> 1</w:t>
      </w:r>
      <w:r w:rsidRPr="00ED54EE">
        <w:rPr>
          <w:rFonts w:ascii="Century Gothic" w:hAnsi="Century Gothic"/>
          <w:sz w:val="20"/>
          <w:szCs w:val="20"/>
        </w:rPr>
        <w:t>).</w:t>
      </w:r>
    </w:p>
    <w:p w14:paraId="7F67BCCE" w14:textId="4ACCC182" w:rsidR="009F743D" w:rsidRPr="00ED54EE" w:rsidRDefault="00ED54EE" w:rsidP="009F743D">
      <w:pPr>
        <w:jc w:val="both"/>
        <w:rPr>
          <w:rFonts w:ascii="Century Gothic" w:hAnsi="Century Gothic"/>
          <w:sz w:val="20"/>
          <w:szCs w:val="20"/>
        </w:rPr>
      </w:pPr>
      <w:r w:rsidRPr="00ED54EE">
        <w:rPr>
          <w:rFonts w:ascii="Century Gothic" w:hAnsi="Century Gothic"/>
          <w:sz w:val="20"/>
          <w:szCs w:val="20"/>
        </w:rPr>
        <w:t>In caso di redazione di cartografie e q</w:t>
      </w:r>
      <w:r w:rsidR="009F743D" w:rsidRPr="00ED54EE">
        <w:rPr>
          <w:rFonts w:ascii="Century Gothic" w:hAnsi="Century Gothic"/>
          <w:sz w:val="20"/>
          <w:szCs w:val="20"/>
        </w:rPr>
        <w:t>ualora solo alcune tipologie di TE s</w:t>
      </w:r>
      <w:r w:rsidR="00DE3268">
        <w:rPr>
          <w:rFonts w:ascii="Century Gothic" w:hAnsi="Century Gothic"/>
          <w:sz w:val="20"/>
          <w:szCs w:val="20"/>
        </w:rPr>
        <w:t>iano</w:t>
      </w:r>
      <w:r>
        <w:rPr>
          <w:rFonts w:ascii="Century Gothic" w:hAnsi="Century Gothic"/>
          <w:sz w:val="20"/>
          <w:szCs w:val="20"/>
        </w:rPr>
        <w:t xml:space="preserve"> </w:t>
      </w:r>
      <w:r w:rsidR="009F743D" w:rsidRPr="00ED54EE">
        <w:rPr>
          <w:rFonts w:ascii="Century Gothic" w:hAnsi="Century Gothic"/>
          <w:sz w:val="20"/>
          <w:szCs w:val="20"/>
        </w:rPr>
        <w:t>ammesse al transito sulle strade comunali</w:t>
      </w:r>
      <w:r w:rsidR="00DE3268">
        <w:rPr>
          <w:rFonts w:ascii="Century Gothic" w:hAnsi="Century Gothic"/>
          <w:sz w:val="20"/>
          <w:szCs w:val="20"/>
        </w:rPr>
        <w:t>,</w:t>
      </w:r>
      <w:r w:rsidR="009F743D" w:rsidRPr="00ED54EE">
        <w:rPr>
          <w:rFonts w:ascii="Century Gothic" w:hAnsi="Century Gothic"/>
          <w:sz w:val="20"/>
          <w:szCs w:val="20"/>
        </w:rPr>
        <w:t xml:space="preserve"> è necessario specificare le tipologie ammesse e le tipologie non ammesse (sempre con riferimento alle legende unitarie regionali -punto 7- lettere dalla A alla N). (Allegato fac-simile</w:t>
      </w:r>
      <w:r w:rsidRPr="00ED54EE">
        <w:rPr>
          <w:rFonts w:ascii="Century Gothic" w:hAnsi="Century Gothic"/>
          <w:sz w:val="20"/>
          <w:szCs w:val="20"/>
        </w:rPr>
        <w:t xml:space="preserve"> 2</w:t>
      </w:r>
      <w:r w:rsidR="009F743D" w:rsidRPr="00ED54EE">
        <w:rPr>
          <w:rFonts w:ascii="Century Gothic" w:hAnsi="Century Gothic"/>
          <w:sz w:val="20"/>
          <w:szCs w:val="20"/>
        </w:rPr>
        <w:t>).</w:t>
      </w:r>
    </w:p>
    <w:p w14:paraId="6C6CDFC6" w14:textId="494F65E5" w:rsidR="00ED54EE" w:rsidRPr="00ED54EE" w:rsidRDefault="00ED54EE" w:rsidP="009F743D">
      <w:pPr>
        <w:jc w:val="both"/>
        <w:rPr>
          <w:rFonts w:ascii="Century Gothic" w:hAnsi="Century Gothic"/>
          <w:sz w:val="20"/>
          <w:szCs w:val="20"/>
        </w:rPr>
      </w:pPr>
      <w:r w:rsidRPr="00ED54EE">
        <w:rPr>
          <w:rFonts w:ascii="Century Gothic" w:hAnsi="Century Gothic"/>
          <w:sz w:val="20"/>
          <w:szCs w:val="20"/>
        </w:rPr>
        <w:t xml:space="preserve">In caso </w:t>
      </w:r>
      <w:r>
        <w:rPr>
          <w:rFonts w:ascii="Century Gothic" w:hAnsi="Century Gothic"/>
          <w:sz w:val="20"/>
          <w:szCs w:val="20"/>
        </w:rPr>
        <w:t>d</w:t>
      </w:r>
      <w:r w:rsidRPr="00ED54EE">
        <w:rPr>
          <w:rFonts w:ascii="Century Gothic" w:hAnsi="Century Gothic"/>
          <w:sz w:val="20"/>
          <w:szCs w:val="20"/>
        </w:rPr>
        <w:t>i red</w:t>
      </w:r>
      <w:r>
        <w:rPr>
          <w:rFonts w:ascii="Century Gothic" w:hAnsi="Century Gothic"/>
          <w:sz w:val="20"/>
          <w:szCs w:val="20"/>
        </w:rPr>
        <w:t>a</w:t>
      </w:r>
      <w:r w:rsidRPr="00ED54EE">
        <w:rPr>
          <w:rFonts w:ascii="Century Gothic" w:hAnsi="Century Gothic"/>
          <w:sz w:val="20"/>
          <w:szCs w:val="20"/>
        </w:rPr>
        <w:t>zione di elenchi strade e qualora solo alcune tipologie di TE s</w:t>
      </w:r>
      <w:r w:rsidR="00DE3268">
        <w:rPr>
          <w:rFonts w:ascii="Century Gothic" w:hAnsi="Century Gothic"/>
          <w:sz w:val="20"/>
          <w:szCs w:val="20"/>
        </w:rPr>
        <w:t>iano</w:t>
      </w:r>
      <w:r w:rsidRPr="00ED54EE">
        <w:rPr>
          <w:rFonts w:ascii="Century Gothic" w:hAnsi="Century Gothic"/>
          <w:sz w:val="20"/>
          <w:szCs w:val="20"/>
        </w:rPr>
        <w:t xml:space="preserve"> ammesse al transito su</w:t>
      </w:r>
      <w:r w:rsidR="00DE3268">
        <w:rPr>
          <w:rFonts w:ascii="Century Gothic" w:hAnsi="Century Gothic"/>
          <w:sz w:val="20"/>
          <w:szCs w:val="20"/>
        </w:rPr>
        <w:t>l</w:t>
      </w:r>
      <w:r w:rsidRPr="00ED54EE">
        <w:rPr>
          <w:rFonts w:ascii="Century Gothic" w:hAnsi="Century Gothic"/>
          <w:sz w:val="20"/>
          <w:szCs w:val="20"/>
        </w:rPr>
        <w:t>le stra</w:t>
      </w:r>
      <w:r>
        <w:rPr>
          <w:rFonts w:ascii="Century Gothic" w:hAnsi="Century Gothic"/>
          <w:sz w:val="20"/>
          <w:szCs w:val="20"/>
        </w:rPr>
        <w:t>d</w:t>
      </w:r>
      <w:r w:rsidRPr="00ED54EE">
        <w:rPr>
          <w:rFonts w:ascii="Century Gothic" w:hAnsi="Century Gothic"/>
          <w:sz w:val="20"/>
          <w:szCs w:val="20"/>
        </w:rPr>
        <w:t>e comunali</w:t>
      </w:r>
      <w:r w:rsidR="00DE3268">
        <w:rPr>
          <w:rFonts w:ascii="Century Gothic" w:hAnsi="Century Gothic"/>
          <w:sz w:val="20"/>
          <w:szCs w:val="20"/>
        </w:rPr>
        <w:t>,</w:t>
      </w:r>
      <w:r w:rsidRPr="00ED54EE">
        <w:rPr>
          <w:rFonts w:ascii="Century Gothic" w:hAnsi="Century Gothic"/>
          <w:sz w:val="20"/>
          <w:szCs w:val="20"/>
        </w:rPr>
        <w:t xml:space="preserve"> è necessario specificare nell’elenco </w:t>
      </w:r>
      <w:r w:rsidR="00DE3268">
        <w:rPr>
          <w:rFonts w:ascii="Century Gothic" w:hAnsi="Century Gothic"/>
          <w:sz w:val="20"/>
          <w:szCs w:val="20"/>
        </w:rPr>
        <w:t>le</w:t>
      </w:r>
      <w:r w:rsidRPr="00ED54EE">
        <w:rPr>
          <w:rFonts w:ascii="Century Gothic" w:hAnsi="Century Gothic"/>
          <w:sz w:val="20"/>
          <w:szCs w:val="20"/>
        </w:rPr>
        <w:t xml:space="preserve"> tipologie </w:t>
      </w:r>
      <w:r w:rsidR="00DE3268">
        <w:rPr>
          <w:rFonts w:ascii="Century Gothic" w:hAnsi="Century Gothic"/>
          <w:sz w:val="20"/>
          <w:szCs w:val="20"/>
        </w:rPr>
        <w:t xml:space="preserve">ammesse e quelle </w:t>
      </w:r>
      <w:r w:rsidRPr="00ED54EE">
        <w:rPr>
          <w:rFonts w:ascii="Century Gothic" w:hAnsi="Century Gothic"/>
          <w:sz w:val="20"/>
          <w:szCs w:val="20"/>
        </w:rPr>
        <w:t xml:space="preserve">non ammesse </w:t>
      </w:r>
      <w:r w:rsidR="00DE3268">
        <w:rPr>
          <w:rFonts w:ascii="Century Gothic" w:hAnsi="Century Gothic"/>
          <w:sz w:val="20"/>
          <w:szCs w:val="20"/>
        </w:rPr>
        <w:t>(ad. Es. SI/N</w:t>
      </w:r>
      <w:bookmarkStart w:id="2" w:name="_GoBack"/>
      <w:bookmarkEnd w:id="2"/>
      <w:r w:rsidR="00DE3268">
        <w:rPr>
          <w:rFonts w:ascii="Century Gothic" w:hAnsi="Century Gothic"/>
          <w:sz w:val="20"/>
          <w:szCs w:val="20"/>
        </w:rPr>
        <w:t xml:space="preserve">O); </w:t>
      </w:r>
      <w:r w:rsidR="00DE3268" w:rsidRPr="00DE3268">
        <w:rPr>
          <w:rFonts w:ascii="Century Gothic" w:hAnsi="Century Gothic"/>
          <w:sz w:val="20"/>
          <w:szCs w:val="20"/>
        </w:rPr>
        <w:t>in caso di tratte stradali indicare nel campo note il tratto ammesso (</w:t>
      </w:r>
      <w:bookmarkStart w:id="3" w:name="_Hlk38267638"/>
      <w:r w:rsidR="00DE3268" w:rsidRPr="00DE3268">
        <w:rPr>
          <w:rFonts w:ascii="Century Gothic" w:hAnsi="Century Gothic"/>
          <w:sz w:val="20"/>
          <w:szCs w:val="20"/>
        </w:rPr>
        <w:t>capisaldi/dal Km al Km, incroci, angolo con</w:t>
      </w:r>
      <w:r w:rsidR="00215BDB">
        <w:rPr>
          <w:rFonts w:ascii="Century Gothic" w:hAnsi="Century Gothic"/>
          <w:sz w:val="20"/>
          <w:szCs w:val="20"/>
        </w:rPr>
        <w:t>…</w:t>
      </w:r>
      <w:r w:rsidR="00DE3268" w:rsidRPr="00DE326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DE3268" w:rsidRPr="00DE3268">
        <w:rPr>
          <w:rFonts w:ascii="Century Gothic" w:hAnsi="Century Gothic"/>
          <w:sz w:val="20"/>
          <w:szCs w:val="20"/>
        </w:rPr>
        <w:t>ecc</w:t>
      </w:r>
      <w:proofErr w:type="spellEnd"/>
      <w:r w:rsidR="00DE3268" w:rsidRPr="00DE3268">
        <w:rPr>
          <w:rFonts w:ascii="Century Gothic" w:hAnsi="Century Gothic"/>
          <w:sz w:val="20"/>
          <w:szCs w:val="20"/>
        </w:rPr>
        <w:t>…);</w:t>
      </w:r>
      <w:bookmarkEnd w:id="3"/>
      <w:r w:rsidR="00DE3268" w:rsidRPr="00ED54EE">
        <w:rPr>
          <w:rFonts w:ascii="Century Gothic" w:hAnsi="Century Gothic"/>
          <w:sz w:val="20"/>
          <w:szCs w:val="20"/>
        </w:rPr>
        <w:t xml:space="preserve"> </w:t>
      </w:r>
      <w:r w:rsidRPr="00ED54EE">
        <w:rPr>
          <w:rFonts w:ascii="Century Gothic" w:hAnsi="Century Gothic"/>
          <w:sz w:val="20"/>
          <w:szCs w:val="20"/>
        </w:rPr>
        <w:t>(Allegato fac-simile 3).</w:t>
      </w:r>
    </w:p>
    <w:p w14:paraId="04E470EC" w14:textId="77777777" w:rsidR="00DE3268" w:rsidRPr="001D2CEB" w:rsidRDefault="00DE3268" w:rsidP="00DE3268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1D2CEB">
        <w:rPr>
          <w:rFonts w:ascii="Century Gothic" w:hAnsi="Century Gothic"/>
          <w:b/>
          <w:bCs/>
          <w:sz w:val="20"/>
          <w:szCs w:val="20"/>
        </w:rPr>
        <w:t>La pubblicazione deve essere eseguita sul sito comunale ad un link “permanente e dedicato” facilmente accessibile e consultabile dagli operatori di settore.</w:t>
      </w:r>
    </w:p>
    <w:p w14:paraId="49C336F4" w14:textId="17D27278" w:rsidR="00F01670" w:rsidRPr="00ED54EE" w:rsidRDefault="00F01670" w:rsidP="009F743D">
      <w:pPr>
        <w:jc w:val="both"/>
        <w:rPr>
          <w:rFonts w:ascii="Century Gothic" w:hAnsi="Century Gothic"/>
          <w:sz w:val="20"/>
          <w:szCs w:val="20"/>
        </w:rPr>
      </w:pPr>
      <w:r w:rsidRPr="001D2CEB">
        <w:rPr>
          <w:rFonts w:ascii="Century Gothic" w:hAnsi="Century Gothic"/>
          <w:b/>
          <w:bCs/>
          <w:sz w:val="20"/>
          <w:szCs w:val="20"/>
        </w:rPr>
        <w:t>Il link di pubblicazione</w:t>
      </w:r>
      <w:r w:rsidR="00DE3268" w:rsidRPr="001D2CEB">
        <w:rPr>
          <w:rFonts w:ascii="Century Gothic" w:hAnsi="Century Gothic"/>
          <w:b/>
          <w:bCs/>
          <w:sz w:val="20"/>
          <w:szCs w:val="20"/>
        </w:rPr>
        <w:t>,</w:t>
      </w:r>
      <w:r w:rsidR="00ED54EE" w:rsidRPr="001D2CEB">
        <w:rPr>
          <w:rFonts w:ascii="Century Gothic" w:hAnsi="Century Gothic"/>
          <w:b/>
          <w:bCs/>
          <w:sz w:val="20"/>
          <w:szCs w:val="20"/>
        </w:rPr>
        <w:t xml:space="preserve"> e gli eventuali aggiornamenti</w:t>
      </w:r>
      <w:r w:rsidR="00DE3268" w:rsidRPr="001D2CEB">
        <w:rPr>
          <w:rFonts w:ascii="Century Gothic" w:hAnsi="Century Gothic"/>
          <w:b/>
          <w:bCs/>
          <w:sz w:val="20"/>
          <w:szCs w:val="20"/>
        </w:rPr>
        <w:t>,</w:t>
      </w:r>
      <w:r w:rsidR="00ED54EE" w:rsidRPr="001D2CEB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1D2CEB">
        <w:rPr>
          <w:rFonts w:ascii="Century Gothic" w:hAnsi="Century Gothic"/>
          <w:b/>
          <w:bCs/>
          <w:sz w:val="20"/>
          <w:szCs w:val="20"/>
        </w:rPr>
        <w:t>dev</w:t>
      </w:r>
      <w:r w:rsidR="00ED54EE" w:rsidRPr="001D2CEB">
        <w:rPr>
          <w:rFonts w:ascii="Century Gothic" w:hAnsi="Century Gothic"/>
          <w:b/>
          <w:bCs/>
          <w:sz w:val="20"/>
          <w:szCs w:val="20"/>
        </w:rPr>
        <w:t>ono</w:t>
      </w:r>
      <w:r w:rsidRPr="001D2CEB">
        <w:rPr>
          <w:rFonts w:ascii="Century Gothic" w:hAnsi="Century Gothic"/>
          <w:b/>
          <w:bCs/>
          <w:sz w:val="20"/>
          <w:szCs w:val="20"/>
        </w:rPr>
        <w:t xml:space="preserve"> essere comunicat</w:t>
      </w:r>
      <w:r w:rsidR="00ED54EE" w:rsidRPr="001D2CEB">
        <w:rPr>
          <w:rFonts w:ascii="Century Gothic" w:hAnsi="Century Gothic"/>
          <w:b/>
          <w:bCs/>
          <w:sz w:val="20"/>
          <w:szCs w:val="20"/>
        </w:rPr>
        <w:t>i</w:t>
      </w:r>
      <w:r w:rsidRPr="001D2CEB">
        <w:rPr>
          <w:rFonts w:ascii="Century Gothic" w:hAnsi="Century Gothic"/>
          <w:b/>
          <w:bCs/>
          <w:sz w:val="20"/>
          <w:szCs w:val="20"/>
        </w:rPr>
        <w:t xml:space="preserve"> a Regione, Città metropolitana di Milano e a tutte le Province </w:t>
      </w:r>
      <w:r w:rsidRPr="00ED54EE">
        <w:rPr>
          <w:rFonts w:ascii="Century Gothic" w:hAnsi="Century Gothic"/>
          <w:sz w:val="20"/>
          <w:szCs w:val="20"/>
        </w:rPr>
        <w:t xml:space="preserve">(le PEC sono reperibili al link  </w:t>
      </w:r>
      <w:hyperlink r:id="rId6" w:history="1">
        <w:r w:rsidRPr="00ED54EE">
          <w:rPr>
            <w:rStyle w:val="Collegamentoipertestuale"/>
            <w:rFonts w:ascii="Century Gothic" w:hAnsi="Century Gothic" w:cs="Arial"/>
            <w:sz w:val="20"/>
            <w:szCs w:val="20"/>
          </w:rPr>
          <w:t>https://www.regione.lombardia.it/wps/portal/istituzionale/HP/DettaglioServizio/servizi-e-informazioni/Enti-e-Operatori/Trasporti-e-logistica/Mobilita-delle-merci/linee-guida-trasporti-eccezionali</w:t>
        </w:r>
      </w:hyperlink>
      <w:r w:rsidRPr="00ED54EE">
        <w:rPr>
          <w:rFonts w:ascii="Century Gothic" w:hAnsi="Century Gothic"/>
          <w:sz w:val="20"/>
          <w:szCs w:val="20"/>
        </w:rPr>
        <w:t xml:space="preserve"> ).</w:t>
      </w:r>
    </w:p>
    <w:p w14:paraId="611FFBE4" w14:textId="77777777" w:rsidR="009F743D" w:rsidRPr="00ED54EE" w:rsidRDefault="009F743D">
      <w:pPr>
        <w:jc w:val="both"/>
        <w:rPr>
          <w:rFonts w:ascii="Century Gothic" w:hAnsi="Century Gothic"/>
          <w:sz w:val="20"/>
          <w:szCs w:val="20"/>
        </w:rPr>
      </w:pPr>
    </w:p>
    <w:p w14:paraId="230F3E16" w14:textId="77777777" w:rsidR="009F743D" w:rsidRDefault="009F743D">
      <w:pPr>
        <w:jc w:val="both"/>
        <w:rPr>
          <w:rFonts w:ascii="Century Gothic" w:hAnsi="Century Gothic"/>
        </w:rPr>
      </w:pPr>
    </w:p>
    <w:sectPr w:rsidR="009F74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95377"/>
    <w:multiLevelType w:val="hybridMultilevel"/>
    <w:tmpl w:val="B7561068"/>
    <w:lvl w:ilvl="0" w:tplc="BD96D47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2690"/>
    <w:multiLevelType w:val="hybridMultilevel"/>
    <w:tmpl w:val="53624A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01AFB"/>
    <w:multiLevelType w:val="hybridMultilevel"/>
    <w:tmpl w:val="67BE64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63DBF"/>
    <w:multiLevelType w:val="hybridMultilevel"/>
    <w:tmpl w:val="118C7BB2"/>
    <w:lvl w:ilvl="0" w:tplc="5178EC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E2250"/>
    <w:multiLevelType w:val="hybridMultilevel"/>
    <w:tmpl w:val="42BCB070"/>
    <w:lvl w:ilvl="0" w:tplc="D03C4E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51"/>
    <w:rsid w:val="001D2CEB"/>
    <w:rsid w:val="00215BDB"/>
    <w:rsid w:val="00402822"/>
    <w:rsid w:val="004F54F0"/>
    <w:rsid w:val="00514C1D"/>
    <w:rsid w:val="00574643"/>
    <w:rsid w:val="005F5627"/>
    <w:rsid w:val="00626877"/>
    <w:rsid w:val="0070722C"/>
    <w:rsid w:val="00853318"/>
    <w:rsid w:val="009B7518"/>
    <w:rsid w:val="009C7D87"/>
    <w:rsid w:val="009F63D9"/>
    <w:rsid w:val="009F743D"/>
    <w:rsid w:val="00A96BD3"/>
    <w:rsid w:val="00BC7B51"/>
    <w:rsid w:val="00D730F3"/>
    <w:rsid w:val="00DA193A"/>
    <w:rsid w:val="00DE3268"/>
    <w:rsid w:val="00E60AD4"/>
    <w:rsid w:val="00ED54EE"/>
    <w:rsid w:val="00F01670"/>
    <w:rsid w:val="00F4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3422"/>
  <w15:chartTrackingRefBased/>
  <w15:docId w15:val="{48D7277A-A771-4E73-BB06-436F3DCE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7B5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F01670"/>
    <w:rPr>
      <w:color w:val="0000FF"/>
      <w:u w:val="single"/>
    </w:rPr>
  </w:style>
  <w:style w:type="paragraph" w:customStyle="1" w:styleId="Default">
    <w:name w:val="Default"/>
    <w:rsid w:val="009F7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2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gione.lombardia.it/wps/portal/istituzionale/HP/DettaglioServizio/servizi-e-informazioni/Enti-e-Operatori/Trasporti-e-logistica/Mobilita-delle-merci/linee-guida-trasporti-eccezionali" TargetMode="External"/><Relationship Id="rId5" Type="http://schemas.openxmlformats.org/officeDocument/2006/relationships/hyperlink" Target="https://www.regione.lombardia.it/wps/portal/istituzionale/HP/DettaglioServizio/servizi-e-informazioni/Enti-e-Operatori/Trasporti-e-logistica/Mobilita-delle-merci/linee-guida-trasporti-ecceziona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Lombardi</dc:creator>
  <cp:keywords/>
  <dc:description/>
  <cp:lastModifiedBy>Barbara Russo</cp:lastModifiedBy>
  <cp:revision>8</cp:revision>
  <dcterms:created xsi:type="dcterms:W3CDTF">2020-04-20T07:27:00Z</dcterms:created>
  <dcterms:modified xsi:type="dcterms:W3CDTF">2020-06-05T09:33:00Z</dcterms:modified>
</cp:coreProperties>
</file>